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left="9071"/>
        <w:rPr>
          <w:color w:val="000000"/>
        </w:rPr>
      </w:pPr>
      <w:r>
        <w:rPr>
          <w:color w:val="000000"/>
          <w:sz w:val="24"/>
          <w:szCs w:val="24"/>
        </w:rPr>
        <w:t>Додаток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2</w:t>
      </w:r>
    </w:p>
    <w:p>
      <w:pPr>
        <w:pStyle w:val="BodyText"/>
        <w:widowControl w:val="false"/>
        <w:suppressAutoHyphens w:val="true"/>
        <w:bidi w:val="0"/>
        <w:spacing w:before="0" w:after="0"/>
        <w:ind w:left="9071"/>
        <w:jc w:val="left"/>
        <w:rPr>
          <w:color w:val="000000"/>
        </w:rPr>
      </w:pPr>
      <w:r>
        <w:rPr>
          <w:color w:val="000000"/>
          <w:sz w:val="24"/>
          <w:szCs w:val="24"/>
        </w:rPr>
        <w:t>до Середньострокового плану пріоритетних публічних</w:t>
      </w:r>
      <w:r>
        <w:rPr>
          <w:color w:val="000000"/>
          <w:spacing w:val="-1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інвестицій</w:t>
      </w:r>
      <w:r>
        <w:rPr>
          <w:color w:val="000000"/>
          <w:spacing w:val="-11"/>
          <w:sz w:val="24"/>
          <w:szCs w:val="24"/>
        </w:rPr>
        <w:t xml:space="preserve"> Покровської міської територіальної громади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en-US" w:bidi="ar-SA"/>
          <w14:ligatures w14:val="none"/>
        </w:rPr>
        <w:t xml:space="preserve">Дніпропетровської області </w:t>
      </w:r>
    </w:p>
    <w:p>
      <w:pPr>
        <w:pStyle w:val="BodyText"/>
        <w:widowControl w:val="false"/>
        <w:suppressAutoHyphens w:val="true"/>
        <w:bidi w:val="0"/>
        <w:spacing w:before="0" w:after="0"/>
        <w:ind w:left="9071"/>
        <w:jc w:val="left"/>
        <w:rPr>
          <w:color w:val="000000"/>
        </w:rPr>
      </w:pPr>
      <w:r>
        <w:rPr>
          <w:rFonts w:eastAsia="Times New Roman" w:cs="Times New Roman"/>
          <w:color w:val="000000"/>
          <w:kern w:val="0"/>
          <w:sz w:val="24"/>
          <w:szCs w:val="24"/>
          <w:lang w:val="uk-UA" w:eastAsia="en-US" w:bidi="ar-SA"/>
          <w14:ligatures w14:val="none"/>
        </w:rPr>
        <w:t>на 2026-2028 роки</w:t>
      </w:r>
    </w:p>
    <w:p>
      <w:pPr>
        <w:pStyle w:val="Normal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Normal"/>
        <w:ind w:firstLine="720"/>
        <w:jc w:val="center"/>
        <w:rPr>
          <w:color w:val="000000"/>
        </w:rPr>
      </w:pPr>
      <w:r>
        <w:rPr>
          <w:b/>
          <w:bCs/>
          <w:color w:val="000000"/>
          <w:sz w:val="24"/>
          <w:szCs w:val="24"/>
        </w:rPr>
        <w:t>Напрями публічного інвестування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b/>
          <w:color w:val="000000"/>
          <w:spacing w:val="-2"/>
          <w:sz w:val="24"/>
          <w:szCs w:val="24"/>
          <w:u w:val="single"/>
        </w:rPr>
        <w:t>Громадська безпека</w:t>
      </w:r>
    </w:p>
    <w:p>
      <w:pPr>
        <w:pStyle w:val="Normal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 xml:space="preserve"> </w:t>
      </w:r>
      <w:bookmarkStart w:id="0" w:name="_Hlk207112382"/>
      <w:r>
        <w:rPr>
          <w:color w:val="000000"/>
          <w:sz w:val="24"/>
          <w:szCs w:val="24"/>
        </w:rPr>
        <w:t>Відповідальний</w:t>
      </w:r>
      <w:bookmarkEnd w:id="0"/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 –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rFonts w:cs="Times New Roman"/>
          <w:b/>
          <w:color w:val="000000"/>
          <w:spacing w:val="-3"/>
          <w:sz w:val="24"/>
          <w:szCs w:val="24"/>
          <w:u w:val="single"/>
          <w:lang w:val="uk-UA" w:eastAsia="uk-UA" w:bidi="ar-SA"/>
        </w:rPr>
        <w:t>Управління житлово-комунального господарства та будівництва виконавчого комітету Покровської міської ради</w:t>
      </w:r>
    </w:p>
    <w:p>
      <w:pPr>
        <w:pStyle w:val="Normal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tbl>
      <w:tblPr>
        <w:tblStyle w:val="TableNormal"/>
        <w:tblW w:w="14685" w:type="dxa"/>
        <w:jc w:val="left"/>
        <w:tblInd w:w="15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0" w:lastRow="1" w:firstColumn="1" w:lastColumn="1" w:noHBand="0" w:val="01e0"/>
      </w:tblPr>
      <w:tblGrid>
        <w:gridCol w:w="4512"/>
        <w:gridCol w:w="1987"/>
        <w:gridCol w:w="3131"/>
        <w:gridCol w:w="1545"/>
        <w:gridCol w:w="850"/>
        <w:gridCol w:w="2659"/>
      </w:tblGrid>
      <w:tr>
        <w:trPr>
          <w:trHeight w:val="754" w:hRule="atLeast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2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val="uk-UA" w:eastAsia="en-US" w:bidi="ar-SA"/>
              </w:rPr>
              <w:t>Напрям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val="uk-UA" w:eastAsia="en-US" w:bidi="ar-SA"/>
              </w:rPr>
              <w:t>Підсектор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val="uk-UA" w:eastAsia="en-US" w:bidi="ar-SA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  <w:lang w:val="uk-UA" w:eastAsia="en-US" w:bidi="ar-SA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  <w:lang w:val="uk-UA" w:eastAsia="en-US" w:bidi="ar-SA"/>
              </w:rPr>
              <w:t>показник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2" w:before="28" w:after="0"/>
              <w:ind w:left="40" w:right="53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val="en-US" w:eastAsia="en-US" w:bidi="ar-SA"/>
              </w:rPr>
              <w:t>Базове значення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2" w:before="28" w:after="0"/>
              <w:ind w:left="41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  <w:lang w:val="en-US" w:eastAsia="en-US" w:bidi="ar-SA"/>
              </w:rPr>
              <w:t>Ціль 2028</w:t>
            </w:r>
          </w:p>
        </w:tc>
        <w:tc>
          <w:tcPr>
            <w:tcW w:w="2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val="en-US" w:eastAsia="en-US" w:bidi="ar-SA"/>
              </w:rPr>
              <w:t>Стратегія</w:t>
            </w:r>
            <w:bookmarkStart w:id="1" w:name="_Hlk207098126"/>
            <w:bookmarkEnd w:id="1"/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9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eastAsia="en-US" w:bidi="ar-SA"/>
              </w:rPr>
              <w:t>Посилення публічної безпеки та порядку</w:t>
            </w:r>
          </w:p>
          <w:p>
            <w:pPr>
              <w:pStyle w:val="Normal"/>
              <w:suppressAutoHyphens w:val="true"/>
              <w:spacing w:lineRule="auto" w:line="259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rFonts w:eastAsia="Aptos"/>
                <w:b/>
                <w:i/>
                <w:color w:val="000000"/>
                <w:sz w:val="24"/>
                <w:szCs w:val="24"/>
                <w:lang w:eastAsia="en-US" w:bidi="ar-SA"/>
              </w:rPr>
              <w:t>проект</w:t>
            </w:r>
            <w:r>
              <w:rPr>
                <w:rFonts w:eastAsia="Aptos"/>
                <w:color w:val="00000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i/>
                <w:color w:val="000000"/>
                <w:sz w:val="24"/>
                <w:szCs w:val="24"/>
                <w:lang w:eastAsia="en-US" w:bidi="ar-SA"/>
              </w:rPr>
              <w:t>Будівництво системи відеоспостереження та відео аналітики в м. Покров Дніпропетровської області</w:t>
            </w: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(Кошторисна вартість робіт в цінах 2017 року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 xml:space="preserve"> згідно експертного звіту –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24061,75 тис.грн., необхідне коригування ПКД)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uk-UA" w:eastAsia="en-US" w:bidi="ar-SA"/>
              </w:rPr>
              <w:t>Протидія злочинності, підтримання публічної безпеки та порядку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uk-UA" w:eastAsia="en-US" w:bidi="ar-SA"/>
              </w:rPr>
              <w:t>Кількість встановлених камер відеоспостереження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2"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2" w:before="28" w:after="0"/>
              <w:ind w:left="41"/>
              <w:jc w:val="center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ru-RU" w:eastAsia="en-US" w:bidi="ar-SA"/>
              </w:rPr>
              <w:t>74 од.</w:t>
            </w:r>
          </w:p>
        </w:tc>
        <w:tc>
          <w:tcPr>
            <w:tcW w:w="2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9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eastAsia="en-US" w:bidi="ar-SA"/>
              </w:rPr>
              <w:t>Посилення публічної безпеки та порядку</w:t>
            </w:r>
          </w:p>
          <w:p>
            <w:pPr>
              <w:pStyle w:val="Normal"/>
              <w:suppressAutoHyphens w:val="true"/>
              <w:spacing w:lineRule="auto" w:line="259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b/>
                <w:i/>
                <w:color w:val="000000"/>
                <w:spacing w:val="-2"/>
                <w:sz w:val="24"/>
                <w:szCs w:val="24"/>
                <w:lang w:val="uk-UA" w:eastAsia="en-US" w:bidi="ar-SA"/>
              </w:rPr>
              <w:t>Модернізація існуючої системи відеоспостереження в м. Покров Нікопольського району  Дніпропетровської області</w:t>
            </w:r>
            <w:r>
              <w:rPr>
                <w:color w:val="000000"/>
                <w:spacing w:val="-2"/>
                <w:sz w:val="24"/>
                <w:szCs w:val="24"/>
                <w:lang w:val="uk-UA" w:eastAsia="en-US"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en-US" w:bidi="ar-SA"/>
              </w:rPr>
              <w:t>(потрібно розроблення ПКД)</w:t>
            </w:r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uk-UA" w:eastAsia="en-US" w:bidi="ar-SA"/>
              </w:rPr>
              <w:t>Протидія злочинності, підтримання публічної безпеки та порядку</w:t>
            </w:r>
          </w:p>
        </w:tc>
        <w:tc>
          <w:tcPr>
            <w:tcW w:w="31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uk-UA" w:eastAsia="en-US" w:bidi="ar-SA"/>
              </w:rPr>
              <w:t>Кількість модернізованих камер відеоспостереження</w:t>
            </w:r>
          </w:p>
        </w:tc>
        <w:tc>
          <w:tcPr>
            <w:tcW w:w="1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2"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true"/>
              <w:spacing w:lineRule="auto" w:line="252" w:before="28" w:after="0"/>
              <w:ind w:left="41"/>
              <w:jc w:val="center"/>
              <w:rPr>
                <w:color w:val="000000"/>
              </w:rPr>
            </w:pPr>
            <w:r>
              <w:rPr>
                <w:rFonts w:eastAsia="Aptos"/>
                <w:color w:val="000000"/>
                <w:sz w:val="24"/>
                <w:szCs w:val="24"/>
                <w:lang w:val="ru-RU" w:eastAsia="en-US" w:bidi="ar-SA"/>
              </w:rPr>
              <w:t>15 од.</w:t>
            </w:r>
          </w:p>
        </w:tc>
        <w:tc>
          <w:tcPr>
            <w:tcW w:w="26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lang w:eastAsia="en-US" w:bidi="ar-SA"/>
              </w:rPr>
              <w:t>на період до 2027 року</w:t>
            </w:r>
          </w:p>
        </w:tc>
      </w:tr>
    </w:tbl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ab/>
        <w:tab/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b/>
          <w:bCs/>
          <w:color w:val="000000"/>
          <w:spacing w:val="-4"/>
          <w:sz w:val="24"/>
          <w:szCs w:val="24"/>
          <w:u w:val="single"/>
        </w:rPr>
        <w:t>Освіта і наука</w:t>
      </w:r>
    </w:p>
    <w:p>
      <w:pPr>
        <w:pStyle w:val="Normal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 xml:space="preserve"> </w:t>
      </w:r>
      <w:bookmarkStart w:id="2" w:name="_Hlk207112382_копія_1"/>
      <w:r>
        <w:rPr>
          <w:color w:val="000000"/>
          <w:sz w:val="24"/>
          <w:szCs w:val="24"/>
        </w:rPr>
        <w:t>Відповідальний</w:t>
      </w:r>
      <w:bookmarkEnd w:id="2"/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 –</w:t>
      </w:r>
      <w:r>
        <w:rPr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color w:val="000000"/>
          <w:spacing w:val="-3"/>
          <w:sz w:val="24"/>
          <w:szCs w:val="24"/>
          <w:u w:val="single"/>
        </w:rPr>
        <w:t>Управління освіти виконавчого комітету Покровської міської ради</w:t>
      </w:r>
    </w:p>
    <w:p>
      <w:pPr>
        <w:pStyle w:val="Normal"/>
        <w:rPr>
          <w:b/>
          <w:color w:val="000000"/>
          <w:spacing w:val="-3"/>
          <w:sz w:val="24"/>
          <w:szCs w:val="24"/>
          <w:u w:val="single"/>
        </w:rPr>
      </w:pPr>
      <w:r>
        <w:rPr>
          <w:b/>
          <w:color w:val="000000"/>
          <w:spacing w:val="-3"/>
          <w:sz w:val="24"/>
          <w:szCs w:val="24"/>
          <w:u w:val="single"/>
        </w:rPr>
      </w:r>
    </w:p>
    <w:tbl>
      <w:tblPr>
        <w:tblW w:w="14685" w:type="dxa"/>
        <w:jc w:val="left"/>
        <w:tblInd w:w="-113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0" w:lastRow="1" w:firstColumn="1" w:lastColumn="1" w:noHBand="0" w:val="01e0"/>
      </w:tblPr>
      <w:tblGrid>
        <w:gridCol w:w="4512"/>
        <w:gridCol w:w="1723"/>
        <w:gridCol w:w="3561"/>
        <w:gridCol w:w="1316"/>
        <w:gridCol w:w="913"/>
        <w:gridCol w:w="2659"/>
      </w:tblGrid>
      <w:tr>
        <w:trPr>
          <w:trHeight w:val="754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left="42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Напрям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Підсектор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показник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Базове значення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>Ціль 2028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38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Стратегія</w:t>
            </w:r>
            <w:bookmarkStart w:id="3" w:name="_Hlk207098126_копія_1"/>
            <w:bookmarkEnd w:id="3"/>
          </w:p>
        </w:tc>
      </w:tr>
      <w:tr>
        <w:trPr>
          <w:trHeight w:val="251" w:hRule="atLeast"/>
        </w:trPr>
        <w:tc>
          <w:tcPr>
            <w:tcW w:w="4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Облаштування у закладах дошкільної освіти захисних споруд цивільного захисту (укриттів) та забезпечення їх доступності для всіх учасників освітнього процесу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захисних споруд цивільного захисту (укриттів) закладів дошкільної освіти, що відповідають вимогам доступності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43%</w:t>
            </w:r>
          </w:p>
        </w:tc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нових споруд цивільного захисту (укриттів) у закладах дошкільної освіти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43%</w:t>
            </w:r>
          </w:p>
        </w:tc>
        <w:tc>
          <w:tcPr>
            <w:tcW w:w="26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Придбання допоміжних засобів для навчання (спеціальних засобів корекції психофізичного розвитку) дітей з особливими освітніми потребами, які здобувають повну загальну середню освіту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дітей з особливими освітніми потребами, які забезпечені допоміжними засобами для навчання (спеціальними засобами корекції психофізичного розвитку), що допомагають опанувати освітню програму відповідно до індивідуальної програми розвитку дитини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25%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Модернізація освітніх просторів та оновлення матеріально-технічної бази академічних ліцеїв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Кількість закладів освіти, які забезпечено сучасним освітнім навчальним обладнанням для реалізації Державного стандарту профільної середньої освіти у STEM кластері.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Стратегії розвитку Покровської міської територіальної громади Дніпропетровської області на 2024-2027 роки</w:t>
            </w:r>
          </w:p>
        </w:tc>
      </w:tr>
      <w:tr>
        <w:trPr>
          <w:trHeight w:val="251" w:hRule="atLeast"/>
        </w:trPr>
        <w:tc>
          <w:tcPr>
            <w:tcW w:w="4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Кількість навчальних кабінетів у закладах загальної середньої освіти, які забезпечені сучасним обладнання для реалізації Державного стандарту профільної середньої освіти у STEM кластері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6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4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Кількість навчальних кабінетів у закладах загальної середньої освіти, які забезпечені сучасним обладнання для реалізації Державного стандарту профільної середньої освіти у мовно-літературному та соціально-гуманітарному кластерах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26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4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ліцеїв, які забезпечено сучасним освітнім навчальним обладнанням для реалізації Державного стандарту профільної середньої освіти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4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Оснащення закладів загальної середньої освіти сучасними цифровими засобами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Кількість педагогічних працівників ЗЗСО, у яких задоволена потреба в комп’ютерному обладнанні для забезпечення освітнього процесу в дистанційній формі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280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295</w:t>
            </w:r>
          </w:p>
        </w:tc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Кількість учнів закладів загальної середньої освіти (далі – ЗЗСО), у яких покрита потреба в комп’ютерному обладнанні для доступу до дистанційного навчання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3000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3200</w:t>
            </w:r>
          </w:p>
        </w:tc>
        <w:tc>
          <w:tcPr>
            <w:tcW w:w="26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4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Питома вага педагогічних працівників ЗЗСО, які підвищили кваліфікацію з цифрової компетентності,%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97%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Придбання допоміжних засобів для навчання (спеціальних засобів корекції психофізичного розвитку) дітей з особливими освітніми потребами, які здобувають дошкільну освіту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Дошкільна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дітей з особливими освітніми потребами, які забезпечені допоміжними засобами для навчання (спеціальними засобами корекції психофізичного розвитку), що допомагають опанувати освітню програму відповідно до індивідуальної програми розвитку дитини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15%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Розширення доступу до якісних, безпечних та різноманітних типів та форм здобуття дошкільної освіти для кожної дитини шляхом інвестування у створення нових типів організації освітньої діяльності у закладах дошкільної освіти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Дошкільна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Забезпеченість обладнанням закладів дошкільної освіти відповідно до типів організації освітньої діяльності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30%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Модернізація та відбудова інфраструктури закладів загальної середньої освіти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Кількість академічних ліцеїв, у яких проведено капітальний ремонт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Оновлення інфраструктури закладів дошкільної освіти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Дошкільна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закладів дошкільної освіти, в яких переоснащено ресурсні кімнати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45%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закладів дошкільної освіти, облаштованих засобами доступності (пандуси, ліфти (підйомники), туалетні кімнати)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30%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60%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закладів дошкільної освіти, у яких оновлено або перевірено технічну справність засобів пожежної сигналізації, систем контролю доступу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18%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закладів дошкільної освіти, які обладнані сертифікованою системою пожежної сигналізації та оповіщення.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18%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нових та відремонтованих облаштованих засобів сигналізації, систем контролю доступу в приміщеннях закладів дошкільної освіти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Частка переоснащених закладів дошкільної освіти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Модернізація інфраструктури установ та закладів загальної середньої освіти комунальної форми власності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Шкільна освіта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Забезпеченість закладів загальної середньої освіти </w:t>
            </w:r>
            <w:r>
              <w:rPr>
                <w:color w:val="000000"/>
                <w:spacing w:val="-2"/>
                <w:sz w:val="24"/>
                <w:szCs w:val="24"/>
              </w:rPr>
              <w:t>комунальної</w:t>
            </w:r>
            <w:r>
              <w:rPr>
                <w:color w:val="000000"/>
                <w:sz w:val="24"/>
                <w:szCs w:val="24"/>
              </w:rPr>
              <w:t xml:space="preserve"> форми власності сучасним обладнанням навчальних кабінетів (STEM, природничих, інформаційно-комунікаційних технологій) та спеціалізованих лабораторій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100%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1" w:after="0"/>
              <w:ind w:left="42" w:right="46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4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3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fill="auto" w:val="clear"/>
              </w:rPr>
              <w:t xml:space="preserve">Частка приміщень установ та закладів загальної середньої освіти </w:t>
            </w:r>
            <w:r>
              <w:rPr>
                <w:color w:val="000000"/>
                <w:spacing w:val="-2"/>
                <w:sz w:val="24"/>
                <w:szCs w:val="24"/>
                <w:shd w:fill="auto" w:val="clear"/>
              </w:rPr>
              <w:t>комунальної</w:t>
            </w:r>
            <w:r>
              <w:rPr>
                <w:color w:val="000000"/>
                <w:sz w:val="24"/>
                <w:szCs w:val="24"/>
                <w:shd w:fill="auto" w:val="clear"/>
              </w:rPr>
              <w:t xml:space="preserve"> форми власності оснащених сучасними системами пожежної сигналізації та оповіщення про що відповідають вимогам </w:t>
            </w:r>
            <w:r>
              <w:rPr>
                <w:color w:val="000000"/>
                <w:sz w:val="24"/>
                <w:szCs w:val="24"/>
                <w:shd w:fill="auto" w:val="clear"/>
                <w14:ligatures w14:val="none"/>
              </w:rPr>
              <w:t>нормативно-правових актів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0" w:right="53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  <w:shd w:fill="auto" w:val="clear"/>
              </w:rPr>
              <w:t>50%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Normal"/>
              <w:spacing w:before="28" w:after="0"/>
              <w:ind w:left="41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87,5%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lang w:eastAsia="en-US" w:bidi="ar-SA"/>
              </w:rPr>
              <w:t>на період до 2027 року</w:t>
            </w:r>
          </w:p>
        </w:tc>
      </w:tr>
    </w:tbl>
    <w:p>
      <w:pPr>
        <w:pStyle w:val="Normal"/>
        <w:tabs>
          <w:tab w:val="clear" w:pos="720"/>
          <w:tab w:val="left" w:pos="99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>Заступник міського голови з виконавчої роботи</w:t>
        <w:tab/>
        <w:tab/>
        <w:tab/>
        <w:tab/>
        <w:tab/>
        <w:tab/>
        <w:tab/>
        <w:tab/>
        <w:tab/>
        <w:tab/>
        <w:t xml:space="preserve">         Олександр ЧИСТЯКОВ</w:t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737" w:gutter="0" w:header="850" w:top="1071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ptos">
    <w:charset w:val="cc"/>
    <w:family w:val="roman"/>
    <w:pitch w:val="variable"/>
  </w:font>
  <w:font w:name="Times New Roman">
    <w:charset w:val="cc"/>
    <w:family w:val="roman"/>
    <w:pitch w:val="variable"/>
  </w:font>
  <w:font w:name="Aptos Display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64229672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64229672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c45f89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uk-UA" w:eastAsia="en-US" w:bidi="ar-SA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533fd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533fd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533fd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E74B5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533fd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E74B5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533fd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E74B5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533fd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533fd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533fd9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533fd9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33fd9"/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533fd9"/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accent1" w:themeShade="bf" w:val="2E74B5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533fd9"/>
    <w:rPr>
      <w:rFonts w:eastAsia="" w:cs="" w:cstheme="majorBidi" w:eastAsiaTheme="majorEastAsia"/>
      <w:i/>
      <w:iCs/>
      <w:color w:themeColor="accent1" w:themeShade="bf" w:val="2E74B5"/>
    </w:rPr>
  </w:style>
  <w:style w:type="character" w:styleId="5" w:customStyle="1">
    <w:name w:val="Заголовок 5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accent1" w:themeShade="bf" w:val="2E74B5"/>
    </w:rPr>
  </w:style>
  <w:style w:type="character" w:styleId="6" w:customStyle="1">
    <w:name w:val="Заголовок 6 Знак"/>
    <w:basedOn w:val="DefaultParagraphFont"/>
    <w:uiPriority w:val="9"/>
    <w:semiHidden/>
    <w:qFormat/>
    <w:rsid w:val="00533fd9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533fd9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533fd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533fd9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533fd9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533fd9"/>
    <w:rPr>
      <w:i/>
      <w:iCs/>
      <w:color w:themeColor="accent1" w:themeShade="bf" w:val="2E74B5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533fd9"/>
    <w:rPr>
      <w:i/>
      <w:iCs/>
      <w:color w:themeColor="accent1" w:themeShade="bf" w:val="2E74B5"/>
    </w:rPr>
  </w:style>
  <w:style w:type="character" w:styleId="IntenseReference">
    <w:name w:val="Intense Reference"/>
    <w:basedOn w:val="DefaultParagraphFont"/>
    <w:uiPriority w:val="32"/>
    <w:qFormat/>
    <w:rsid w:val="00533fd9"/>
    <w:rPr>
      <w:b/>
      <w:bCs/>
      <w:smallCaps/>
      <w:color w:themeColor="accent1" w:themeShade="bf" w:val="2E74B5"/>
      <w:spacing w:val="5"/>
    </w:rPr>
  </w:style>
  <w:style w:type="character" w:styleId="Style8" w:customStyle="1">
    <w:name w:val="Основной текст Знак"/>
    <w:basedOn w:val="DefaultParagraphFont"/>
    <w:uiPriority w:val="1"/>
    <w:qFormat/>
    <w:rsid w:val="00f024a9"/>
    <w:rPr>
      <w:rFonts w:ascii="Times New Roman" w:hAnsi="Times New Roman" w:eastAsia="Times New Roman" w:cs="Times New Roman"/>
      <w:kern w:val="0"/>
      <w:sz w:val="28"/>
      <w:szCs w:val="28"/>
      <w:lang w:val="uk-UA"/>
      <w14:ligatures w14:val="none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2d0255"/>
    <w:rPr>
      <w:rFonts w:ascii="Times New Roman" w:hAnsi="Times New Roman" w:eastAsia="Times New Roman" w:cs="Times New Roman"/>
      <w:kern w:val="0"/>
      <w:lang w:val="uk-UA"/>
      <w14:ligatures w14:val="none"/>
    </w:rPr>
  </w:style>
  <w:style w:type="character" w:styleId="Style10" w:customStyle="1">
    <w:name w:val="Нижний колонтитул Знак"/>
    <w:basedOn w:val="DefaultParagraphFont"/>
    <w:uiPriority w:val="99"/>
    <w:qFormat/>
    <w:rsid w:val="002d0255"/>
    <w:rPr>
      <w:rFonts w:ascii="Times New Roman" w:hAnsi="Times New Roman" w:eastAsia="Times New Roman" w:cs="Times New Roman"/>
      <w:kern w:val="0"/>
      <w:lang w:val="uk-UA"/>
      <w14:ligatures w14:val="none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381b68"/>
    <w:rPr>
      <w:rFonts w:ascii="Segoe UI" w:hAnsi="Segoe UI" w:eastAsia="Times New Roman" w:cs="Segoe UI"/>
      <w:kern w:val="0"/>
      <w:sz w:val="18"/>
      <w:szCs w:val="18"/>
      <w:lang w:val="uk-UA"/>
      <w14:ligatures w14:val="none"/>
    </w:rPr>
  </w:style>
  <w:style w:type="paragraph" w:styleId="Style12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8"/>
    <w:uiPriority w:val="1"/>
    <w:qFormat/>
    <w:rsid w:val="00f024a9"/>
    <w:pPr/>
    <w:rPr>
      <w:sz w:val="28"/>
      <w:szCs w:val="28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 w:customStyle="1">
    <w:name w:val="Покажчик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Style5"/>
    <w:uiPriority w:val="10"/>
    <w:qFormat/>
    <w:rsid w:val="00533fd9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533fd9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533fd9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533fd9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533f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E74B5"/>
    </w:rPr>
  </w:style>
  <w:style w:type="paragraph" w:styleId="TableParagraph" w:customStyle="1">
    <w:name w:val="Table Paragraph"/>
    <w:basedOn w:val="Normal"/>
    <w:uiPriority w:val="1"/>
    <w:qFormat/>
    <w:rsid w:val="00f024a9"/>
    <w:pPr/>
    <w:rPr/>
  </w:style>
  <w:style w:type="paragraph" w:styleId="Style14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link w:val="Style9"/>
    <w:uiPriority w:val="99"/>
    <w:unhideWhenUsed/>
    <w:rsid w:val="002d0255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Footer">
    <w:name w:val="Footer"/>
    <w:basedOn w:val="Normal"/>
    <w:link w:val="Style10"/>
    <w:uiPriority w:val="99"/>
    <w:unhideWhenUsed/>
    <w:rsid w:val="002d0255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9a5798"/>
    <w:pPr/>
    <w:rPr>
      <w:sz w:val="24"/>
      <w:szCs w:val="24"/>
    </w:rPr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381b68"/>
    <w:pPr/>
    <w:rPr>
      <w:rFonts w:ascii="Segoe UI" w:hAnsi="Segoe UI" w:cs="Segoe UI"/>
      <w:sz w:val="18"/>
      <w:szCs w:val="18"/>
    </w:rPr>
  </w:style>
  <w:style w:type="paragraph" w:styleId="Style15" w:customStyle="1">
    <w:name w:val="Вміст рамки"/>
    <w:basedOn w:val="Normal"/>
    <w:qFormat/>
    <w:pPr/>
    <w:rPr/>
  </w:style>
  <w:style w:type="numbering" w:styleId="Style16" w:customStyle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024a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3A28D-7F9B-4B16-9638-0E12DE62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LibreOffice/24.2.0.3$Windows_X86_64 LibreOffice_project/da48488a73ddd66ea24cf16bbc4f7b9c08e9bea1</Application>
  <AppVersion>15.0000</AppVersion>
  <Pages>6</Pages>
  <Words>921</Words>
  <Characters>6916</Characters>
  <CharactersWithSpaces>7737</CharactersWithSpaces>
  <Paragraphs>134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2025-11-10T14:58:00Z</dcterms:created>
  <dc:creator>Микола Новоселецький</dc:creator>
  <dc:description/>
  <dc:language>uk-UA</dc:language>
  <cp:lastModifiedBy/>
  <cp:lastPrinted>2025-10-15T13:05:00Z</cp:lastPrinted>
  <dcterms:modified xsi:type="dcterms:W3CDTF">2025-11-26T09:05:38Z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